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margin" w:leftFromText="180" w:rightFromText="180" w:tblpX="0" w:tblpXSpec="center" w:tblpY="2" w:topFromText="0" w:vertAnchor="text"/>
        <w:tblW w:w="964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015"/>
        <w:gridCol w:w="3757"/>
        <w:gridCol w:w="2868"/>
      </w:tblGrid>
      <w:tr>
        <w:trPr>
          <w:trHeight w:val="1438" w:hRule="atLeast"/>
        </w:trPr>
        <w:tc>
          <w:tcPr>
            <w:tcW w:w="3015" w:type="dxa"/>
            <w:tcBorders/>
          </w:tcPr>
          <w:p>
            <w:pPr>
              <w:pStyle w:val="Normal"/>
              <w:widowControl w:val="false"/>
              <w:ind w:right="-358" w:firstLine="708"/>
              <w:rPr>
                <w:sz w:val="27"/>
                <w:szCs w:val="27"/>
              </w:rPr>
            </w:pPr>
            <w:r>
              <w:rPr>
                <w:sz w:val="27"/>
                <w:szCs w:val="27"/>
              </w:rPr>
            </w:r>
          </w:p>
        </w:tc>
        <w:tc>
          <w:tcPr>
            <w:tcW w:w="3757" w:type="dxa"/>
            <w:tcBorders/>
            <w:vAlign w:val="center"/>
          </w:tcPr>
          <w:p>
            <w:pPr>
              <w:pStyle w:val="Normal"/>
              <w:widowControl w:val="false"/>
              <w:tabs>
                <w:tab w:val="clear" w:pos="708"/>
                <w:tab w:val="left" w:pos="1900" w:leader="none"/>
              </w:tabs>
              <w:ind w:left="772" w:right="-358" w:hanging="0"/>
              <w:jc w:val="both"/>
              <w:rPr>
                <w:sz w:val="27"/>
                <w:szCs w:val="27"/>
              </w:rPr>
            </w:pPr>
            <w:r>
              <w:rPr>
                <w:sz w:val="27"/>
                <w:szCs w:val="27"/>
              </w:rPr>
              <w:t xml:space="preserve">      </w:t>
            </w:r>
            <w:r>
              <w:rPr/>
              <w:drawing>
                <wp:inline distT="0" distB="0" distL="0" distR="0">
                  <wp:extent cx="510540" cy="885190"/>
                  <wp:effectExtent l="0" t="0" r="0" b="0"/>
                  <wp:docPr id="1" name="Рисунок 2" descr="C:\Documents and Settings\User\Local Settings\Temporary Internet Files\Content.Word\герб горо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Documents and Settings\User\Local Settings\Temporary Internet Files\Content.Word\герб города.tif"/>
                          <pic:cNvPicPr>
                            <a:picLocks noChangeAspect="1" noChangeArrowheads="1"/>
                          </pic:cNvPicPr>
                        </pic:nvPicPr>
                        <pic:blipFill>
                          <a:blip r:embed="rId2"/>
                          <a:stretch>
                            <a:fillRect/>
                          </a:stretch>
                        </pic:blipFill>
                        <pic:spPr bwMode="auto">
                          <a:xfrm>
                            <a:off x="0" y="0"/>
                            <a:ext cx="510540" cy="885190"/>
                          </a:xfrm>
                          <a:prstGeom prst="rect">
                            <a:avLst/>
                          </a:prstGeom>
                        </pic:spPr>
                      </pic:pic>
                    </a:graphicData>
                  </a:graphic>
                </wp:inline>
              </w:drawing>
            </w:r>
          </w:p>
        </w:tc>
        <w:tc>
          <w:tcPr>
            <w:tcW w:w="2868" w:type="dxa"/>
            <w:tcBorders/>
          </w:tcPr>
          <w:p>
            <w:pPr>
              <w:pStyle w:val="Normal"/>
              <w:widowControl w:val="false"/>
              <w:rPr/>
            </w:pPr>
            <w:r>
              <w:rPr/>
            </w:r>
          </w:p>
        </w:tc>
      </w:tr>
      <w:tr>
        <w:trPr>
          <w:trHeight w:val="1369" w:hRule="atLeast"/>
        </w:trPr>
        <w:tc>
          <w:tcPr>
            <w:tcW w:w="9640" w:type="dxa"/>
            <w:gridSpan w:val="3"/>
            <w:tcBorders/>
          </w:tcPr>
          <w:p>
            <w:pPr>
              <w:pStyle w:val="Normal"/>
              <w:widowControl w:val="false"/>
              <w:ind w:right="-358" w:hanging="0"/>
              <w:jc w:val="center"/>
              <w:rPr>
                <w:rFonts w:ascii="Liberation Serif" w:hAnsi="Liberation Serif" w:cs="Liberation Serif"/>
                <w:b/>
                <w:b/>
                <w:bCs/>
                <w:sz w:val="27"/>
                <w:szCs w:val="27"/>
              </w:rPr>
            </w:pPr>
            <w:r>
              <w:rPr>
                <w:rFonts w:cs="Liberation Serif" w:ascii="Liberation Serif" w:hAnsi="Liberation Serif"/>
                <w:b/>
                <w:bCs/>
                <w:sz w:val="27"/>
                <w:szCs w:val="27"/>
              </w:rPr>
              <w:t>НАЧАЛЬНИК ФИНАНСОВОГО ОТДЕЛ АДМИНИСТРАЦИИ ГОРОДСКОГО ОКРУГА ЗАТО СВОБОДНЫЙ</w:t>
            </w:r>
          </w:p>
          <w:p>
            <w:pPr>
              <w:pStyle w:val="Normal"/>
              <w:widowControl w:val="false"/>
              <w:ind w:right="-358" w:hanging="0"/>
              <w:jc w:val="center"/>
              <w:rPr>
                <w:rFonts w:ascii="Liberation Serif" w:hAnsi="Liberation Serif" w:cs="Liberation Serif"/>
                <w:b/>
                <w:b/>
                <w:bCs/>
                <w:sz w:val="27"/>
                <w:szCs w:val="27"/>
              </w:rPr>
            </w:pPr>
            <w:r>
              <w:rPr>
                <w:rFonts w:cs="Liberation Serif" w:ascii="Liberation Serif" w:hAnsi="Liberation Serif"/>
                <w:b/>
                <w:bCs/>
                <w:sz w:val="27"/>
                <w:szCs w:val="27"/>
              </w:rPr>
            </w:r>
          </w:p>
          <w:p>
            <w:pPr>
              <w:pStyle w:val="Normal"/>
              <w:widowControl w:val="false"/>
              <w:ind w:right="-358" w:hanging="0"/>
              <w:jc w:val="center"/>
              <w:rPr>
                <w:rFonts w:ascii="Liberation Serif" w:hAnsi="Liberation Serif" w:cs="Liberation Serif"/>
                <w:b/>
                <w:b/>
                <w:bCs/>
                <w:sz w:val="27"/>
                <w:szCs w:val="27"/>
              </w:rPr>
            </w:pPr>
            <w:r>
              <w:rPr>
                <w:rFonts w:cs="Liberation Serif" w:ascii="Liberation Serif" w:hAnsi="Liberation Serif"/>
                <w:b/>
                <w:bCs/>
                <w:sz w:val="27"/>
                <w:szCs w:val="27"/>
              </w:rPr>
              <w:t>РАСПОРЯЖЕНИЕ</w:t>
            </w:r>
          </w:p>
          <w:p>
            <w:pPr>
              <w:pStyle w:val="Normal"/>
              <w:widowControl w:val="false"/>
              <w:ind w:right="-358" w:hanging="0"/>
              <w:jc w:val="center"/>
              <w:rPr>
                <w:rFonts w:ascii="Liberation Serif" w:hAnsi="Liberation Serif" w:cs="Liberation Serif"/>
                <w:b/>
                <w:b/>
                <w:bCs/>
                <w:sz w:val="27"/>
                <w:szCs w:val="27"/>
              </w:rPr>
            </w:pPr>
            <w:r>
              <w:rPr>
                <w:rFonts w:cs="Liberation Serif" w:ascii="Liberation Serif" w:hAnsi="Liberation Serif"/>
                <w:b/>
                <w:bCs/>
                <w:sz w:val="27"/>
                <w:szCs w:val="27"/>
              </w:rPr>
              <w:t>_______________________________________________________________________</w:t>
            </w:r>
          </w:p>
          <w:p>
            <w:pPr>
              <w:pStyle w:val="Normal"/>
              <w:widowControl w:val="false"/>
              <w:ind w:right="-358" w:hanging="0"/>
              <w:rPr>
                <w:rFonts w:ascii="Liberation Serif" w:hAnsi="Liberation Serif" w:cs="Liberation Serif"/>
                <w:b/>
                <w:b/>
                <w:bCs/>
                <w:sz w:val="27"/>
                <w:szCs w:val="27"/>
              </w:rPr>
            </w:pPr>
            <w:r>
              <w:rPr>
                <w:rFonts w:cs="Liberation Serif" w:ascii="Liberation Serif" w:hAnsi="Liberation Serif"/>
                <w:b/>
                <w:bCs/>
                <w:sz w:val="27"/>
                <w:szCs w:val="27"/>
              </w:rPr>
            </w:r>
          </w:p>
        </w:tc>
      </w:tr>
    </w:tbl>
    <w:p>
      <w:pPr>
        <w:pStyle w:val="Normal"/>
        <w:rPr>
          <w:rFonts w:ascii="Liberation Serif" w:hAnsi="Liberation Serif" w:cs="Liberation Serif"/>
          <w:sz w:val="28"/>
          <w:szCs w:val="28"/>
        </w:rPr>
      </w:pPr>
      <w:r>
        <w:rPr>
          <w:rFonts w:cs="Liberation Serif" w:ascii="Liberation Serif" w:hAnsi="Liberation Serif"/>
          <w:sz w:val="28"/>
          <w:szCs w:val="28"/>
        </w:rPr>
        <w:t xml:space="preserve">от «___» </w:t>
      </w:r>
      <w:r>
        <w:rPr>
          <w:rFonts w:cs="Liberation Serif" w:ascii="Liberation Serif" w:hAnsi="Liberation Serif"/>
          <w:sz w:val="28"/>
          <w:szCs w:val="28"/>
        </w:rPr>
        <w:t>дека</w:t>
      </w:r>
      <w:r>
        <w:rPr>
          <w:rFonts w:cs="Liberation Serif" w:ascii="Liberation Serif" w:hAnsi="Liberation Serif"/>
          <w:sz w:val="28"/>
          <w:szCs w:val="28"/>
        </w:rPr>
        <w:t xml:space="preserve">бря 2022 года </w:t>
      </w:r>
      <w:r>
        <w:rPr>
          <w:rFonts w:cs="Liberation Serif" w:ascii="Liberation Serif" w:hAnsi="Liberation Serif"/>
          <w:sz w:val="28"/>
          <w:szCs w:val="28"/>
          <w:lang w:val="en-US"/>
        </w:rPr>
        <w:t>№</w:t>
      </w:r>
      <w:r>
        <w:rPr>
          <w:rFonts w:cs="Liberation Serif" w:ascii="Liberation Serif" w:hAnsi="Liberation Serif"/>
          <w:sz w:val="28"/>
          <w:szCs w:val="28"/>
        </w:rPr>
        <w:t xml:space="preserve"> ___</w:t>
      </w:r>
    </w:p>
    <w:p>
      <w:pPr>
        <w:pStyle w:val="Normal"/>
        <w:rPr>
          <w:rFonts w:ascii="Liberation Serif" w:hAnsi="Liberation Serif" w:cs="Liberation Serif"/>
          <w:sz w:val="28"/>
          <w:szCs w:val="28"/>
        </w:rPr>
      </w:pPr>
      <w:r>
        <w:rPr>
          <w:rFonts w:cs="Liberation Serif" w:ascii="Liberation Serif" w:hAnsi="Liberation Serif"/>
          <w:sz w:val="28"/>
          <w:szCs w:val="28"/>
        </w:rPr>
        <w:t>пгт. Свободный</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sz w:val="28"/>
          <w:szCs w:val="28"/>
        </w:rPr>
      </w:pPr>
      <w:r>
        <w:rPr>
          <w:sz w:val="28"/>
          <w:szCs w:val="28"/>
        </w:rPr>
      </w:r>
    </w:p>
    <w:p>
      <w:pPr>
        <w:pStyle w:val="Normal"/>
        <w:tabs>
          <w:tab w:val="clear" w:pos="708"/>
          <w:tab w:val="left" w:pos="7890" w:leader="none"/>
        </w:tabs>
        <w:ind w:right="-1" w:hanging="0"/>
        <w:jc w:val="center"/>
        <w:rPr>
          <w:rFonts w:ascii="Liberation Serif;Times New Roma" w:hAnsi="Liberation Serif;Times New Roma" w:cs="Liberation Serif;Times New Roma"/>
          <w:b/>
          <w:b/>
          <w:sz w:val="28"/>
          <w:szCs w:val="28"/>
        </w:rPr>
      </w:pPr>
      <w:r>
        <w:rPr>
          <w:rFonts w:cs="Liberation Serif;Times New Roma" w:ascii="Liberation Serif;Times New Roma" w:hAnsi="Liberation Serif;Times New Roma"/>
          <w:b/>
          <w:sz w:val="28"/>
          <w:szCs w:val="28"/>
        </w:rPr>
        <w:t>Об утверждении Порядка санкционирования расходов участников казначейского сопровождения финансовым отделом администрации городского округа ЗАТО Свободный</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firstLine="708"/>
        <w:jc w:val="both"/>
        <w:rPr>
          <w:rFonts w:ascii="Liberation Serif" w:hAnsi="Liberation Serif" w:cs="Liberation Serif"/>
          <w:sz w:val="28"/>
          <w:szCs w:val="28"/>
        </w:rPr>
      </w:pPr>
      <w:r>
        <w:rPr>
          <w:rFonts w:cs="Liberation Serif" w:ascii="Liberation Serif" w:hAnsi="Liberation Serif"/>
          <w:sz w:val="28"/>
          <w:szCs w:val="28"/>
        </w:rPr>
        <w:t xml:space="preserve">В соответствии со статьей 242.23 Бюджетного кодекса Российской Федерации, постановлением администрации городского округа ЗАТО Свободный от 28 марта 2022 года </w:t>
      </w:r>
      <w:r>
        <w:rPr>
          <w:rFonts w:cs="Liberation Serif" w:ascii="Liberation Serif" w:hAnsi="Liberation Serif"/>
          <w:sz w:val="28"/>
          <w:szCs w:val="28"/>
          <w:lang w:val="en-US"/>
        </w:rPr>
        <w:t>N</w:t>
      </w:r>
      <w:r>
        <w:rPr>
          <w:rFonts w:cs="Liberation Serif" w:ascii="Liberation Serif" w:hAnsi="Liberation Serif"/>
          <w:sz w:val="28"/>
          <w:szCs w:val="28"/>
        </w:rPr>
        <w:t xml:space="preserve"> 137 "Об утверждении порядка осуществления финансовым отделом администрации городского округа ЗАТО Свободный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бюджета городского округа ЗАТО Свободный"</w:t>
      </w:r>
    </w:p>
    <w:p>
      <w:pPr>
        <w:pStyle w:val="Normal"/>
        <w:jc w:val="both"/>
        <w:rPr>
          <w:rFonts w:ascii="Liberation Serif" w:hAnsi="Liberation Serif" w:cs="Liberation Serif"/>
          <w:sz w:val="28"/>
          <w:szCs w:val="28"/>
        </w:rPr>
      </w:pPr>
      <w:r>
        <w:rPr>
          <w:rFonts w:cs="Liberation Serif" w:ascii="Liberation Serif" w:hAnsi="Liberation Serif"/>
          <w:b/>
          <w:sz w:val="28"/>
          <w:szCs w:val="28"/>
        </w:rPr>
        <w:t>ПРИКАЗЫВАЮ:</w:t>
      </w:r>
      <w:r>
        <w:rPr>
          <w:rFonts w:cs="Liberation Serif" w:ascii="Liberation Serif" w:hAnsi="Liberation Serif"/>
          <w:sz w:val="28"/>
          <w:szCs w:val="28"/>
        </w:rPr>
        <w:t xml:space="preserve"> </w:t>
      </w:r>
    </w:p>
    <w:p>
      <w:pPr>
        <w:pStyle w:val="ListParagraph"/>
        <w:numPr>
          <w:ilvl w:val="0"/>
          <w:numId w:val="1"/>
        </w:numPr>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Утвердить </w:t>
      </w:r>
      <w:hyperlink r:id="rId3">
        <w:r>
          <w:rPr>
            <w:rFonts w:cs="Liberation Serif" w:ascii="Liberation Serif" w:hAnsi="Liberation Serif"/>
            <w:color w:val="000000"/>
            <w:sz w:val="28"/>
            <w:szCs w:val="28"/>
          </w:rPr>
          <w:t>Порядок</w:t>
        </w:r>
      </w:hyperlink>
      <w:r>
        <w:rPr>
          <w:rFonts w:cs="Liberation Serif" w:ascii="Liberation Serif" w:hAnsi="Liberation Serif"/>
          <w:color w:val="000000"/>
          <w:sz w:val="28"/>
          <w:szCs w:val="28"/>
        </w:rPr>
        <w:t xml:space="preserve"> санкционирования расходов участников казначейского сопровождения финансовым отделом администрации городского округа ЗАТО Свободный (прилагается)</w:t>
      </w:r>
      <w:r>
        <w:rPr>
          <w:rFonts w:cs="Liberation Serif" w:ascii="Liberation Serif" w:hAnsi="Liberation Serif"/>
          <w:sz w:val="28"/>
          <w:szCs w:val="28"/>
        </w:rPr>
        <w:t>.</w:t>
      </w:r>
    </w:p>
    <w:p>
      <w:pPr>
        <w:pStyle w:val="ConsPlusNormal"/>
        <w:numPr>
          <w:ilvl w:val="0"/>
          <w:numId w:val="1"/>
        </w:numPr>
        <w:ind w:left="0" w:firstLine="709"/>
        <w:jc w:val="both"/>
        <w:rPr>
          <w:rFonts w:ascii="Liberation Serif" w:hAnsi="Liberation Serif" w:cs="Liberation Serif"/>
          <w:sz w:val="28"/>
          <w:szCs w:val="28"/>
        </w:rPr>
      </w:pPr>
      <w:r>
        <w:rPr>
          <w:rFonts w:cs="Liberation Serif" w:ascii="Liberation Serif" w:hAnsi="Liberation Serif"/>
          <w:sz w:val="28"/>
          <w:szCs w:val="28"/>
        </w:rPr>
        <w:t>Настоящее распоряжение вступает в силу с 1 января 2023 года.</w:t>
      </w:r>
    </w:p>
    <w:p>
      <w:pPr>
        <w:pStyle w:val="ListParagraph"/>
        <w:numPr>
          <w:ilvl w:val="0"/>
          <w:numId w:val="1"/>
        </w:numPr>
        <w:ind w:left="0" w:firstLine="709"/>
        <w:jc w:val="both"/>
        <w:rPr>
          <w:rFonts w:ascii="Liberation Serif" w:hAnsi="Liberation Serif" w:cs="Liberation Serif"/>
          <w:sz w:val="28"/>
          <w:szCs w:val="28"/>
        </w:rPr>
      </w:pPr>
      <w:r>
        <w:rPr>
          <w:rFonts w:cs="Liberation Serif" w:ascii="Liberation Serif" w:hAnsi="Liberation Serif"/>
          <w:sz w:val="28"/>
          <w:szCs w:val="28"/>
        </w:rPr>
        <w:t>Контроль за исполнением настоящего распоряжения оставляю за собой.</w:t>
      </w:r>
    </w:p>
    <w:p>
      <w:pPr>
        <w:pStyle w:val="ListParagraph"/>
        <w:numPr>
          <w:ilvl w:val="0"/>
          <w:numId w:val="1"/>
        </w:numPr>
        <w:ind w:left="0" w:firstLine="709"/>
        <w:jc w:val="both"/>
        <w:rPr>
          <w:rFonts w:ascii="Liberation Serif" w:hAnsi="Liberation Serif" w:cs="Liberation Serif"/>
          <w:sz w:val="28"/>
          <w:szCs w:val="28"/>
        </w:rPr>
      </w:pPr>
      <w:r>
        <w:rPr>
          <w:rFonts w:cs="Liberation Serif" w:ascii="Liberation Serif" w:hAnsi="Liberation Serif"/>
          <w:sz w:val="28"/>
          <w:szCs w:val="28"/>
        </w:rPr>
        <w:t>Опубликовать настоящее распоряжение на официальном сайте городского округа ЗАТО Свободный.</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t>Начальник финансового отдела</w:t>
        <w:tab/>
        <w:tab/>
        <w:tab/>
        <w:tab/>
        <w:tab/>
        <w:t xml:space="preserve">            М.Н. Малых</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1620" w:leader="none"/>
        </w:tabs>
        <w:jc w:val="center"/>
        <w:rPr/>
      </w:pPr>
      <w:r>
        <w:rPr/>
        <w:tab/>
        <w:tab/>
        <w:tab/>
        <w:t xml:space="preserve">     </w:t>
      </w:r>
    </w:p>
    <w:p>
      <w:pPr>
        <w:pStyle w:val="Normal"/>
        <w:tabs>
          <w:tab w:val="clear" w:pos="708"/>
          <w:tab w:val="left" w:pos="1620" w:leader="none"/>
        </w:tabs>
        <w:jc w:val="center"/>
        <w:rPr>
          <w:rFonts w:ascii="Liberation Serif" w:hAnsi="Liberation Serif"/>
        </w:rPr>
      </w:pPr>
      <w:r>
        <w:rPr/>
        <w:tab/>
        <w:tab/>
        <w:tab/>
        <w:t xml:space="preserve">                      </w:t>
      </w:r>
    </w:p>
    <w:p>
      <w:pPr>
        <w:pStyle w:val="Normal"/>
        <w:tabs>
          <w:tab w:val="clear" w:pos="708"/>
          <w:tab w:val="left" w:pos="1620" w:leader="none"/>
        </w:tabs>
        <w:jc w:val="center"/>
        <w:rPr>
          <w:rFonts w:ascii="Liberation Serif" w:hAnsi="Liberation Serif"/>
        </w:rPr>
      </w:pPr>
      <w:r>
        <w:rPr/>
      </w:r>
    </w:p>
    <w:p>
      <w:pPr>
        <w:pStyle w:val="Normal"/>
        <w:tabs>
          <w:tab w:val="clear" w:pos="708"/>
          <w:tab w:val="left" w:pos="1620" w:leader="none"/>
        </w:tabs>
        <w:jc w:val="center"/>
        <w:rPr>
          <w:rFonts w:ascii="Liberation Serif" w:hAnsi="Liberation Serif"/>
        </w:rPr>
      </w:pPr>
      <w:r>
        <w:rPr/>
      </w:r>
    </w:p>
    <w:p>
      <w:pPr>
        <w:pStyle w:val="Normal"/>
        <w:tabs>
          <w:tab w:val="clear" w:pos="708"/>
          <w:tab w:val="left" w:pos="1620" w:leader="none"/>
        </w:tabs>
        <w:jc w:val="center"/>
        <w:rPr>
          <w:rFonts w:ascii="Liberation Serif" w:hAnsi="Liberation Serif"/>
        </w:rPr>
      </w:pPr>
      <w:r>
        <w:rPr/>
        <w:t xml:space="preserve">                               </w:t>
      </w:r>
      <w:r>
        <w:rPr>
          <w:rFonts w:ascii="Liberation Serif" w:hAnsi="Liberation Serif"/>
        </w:rPr>
        <w:t>Утвержден</w:t>
      </w:r>
    </w:p>
    <w:p>
      <w:pPr>
        <w:pStyle w:val="Normal"/>
        <w:ind w:left="5216" w:hanging="0"/>
        <w:rPr>
          <w:rFonts w:ascii="Liberation Serif" w:hAnsi="Liberation Serif"/>
        </w:rPr>
      </w:pPr>
      <w:r>
        <w:rPr>
          <w:rFonts w:ascii="Liberation Serif" w:hAnsi="Liberation Serif"/>
        </w:rPr>
        <w:t>распоряжением начальника финансового отдела администрации</w:t>
      </w:r>
    </w:p>
    <w:p>
      <w:pPr>
        <w:pStyle w:val="Normal"/>
        <w:ind w:left="5216" w:hanging="0"/>
        <w:rPr>
          <w:rFonts w:ascii="Liberation Serif" w:hAnsi="Liberation Serif"/>
        </w:rPr>
      </w:pPr>
      <w:r>
        <w:rPr>
          <w:rFonts w:ascii="Liberation Serif" w:hAnsi="Liberation Serif"/>
        </w:rPr>
        <w:t>городского округа ЗАТО Свободный</w:t>
      </w:r>
    </w:p>
    <w:p>
      <w:pPr>
        <w:pStyle w:val="Normal"/>
        <w:ind w:left="5216" w:hanging="0"/>
        <w:rPr>
          <w:rFonts w:ascii="Liberation Serif" w:hAnsi="Liberation Serif"/>
        </w:rPr>
      </w:pPr>
      <w:r>
        <w:rPr>
          <w:rFonts w:ascii="Liberation Serif" w:hAnsi="Liberation Serif"/>
        </w:rPr>
        <w:t xml:space="preserve">от « ___» </w:t>
      </w:r>
      <w:r>
        <w:rPr>
          <w:rFonts w:ascii="Liberation Serif" w:hAnsi="Liberation Serif"/>
        </w:rPr>
        <w:t>дека</w:t>
      </w:r>
      <w:r>
        <w:rPr>
          <w:rFonts w:ascii="Liberation Serif" w:hAnsi="Liberation Serif"/>
        </w:rPr>
        <w:t xml:space="preserve">бря  2022 года </w:t>
      </w:r>
      <w:r>
        <w:rPr>
          <w:rFonts w:ascii="Liberation Serif" w:hAnsi="Liberation Serif"/>
          <w:lang w:val="en-US"/>
        </w:rPr>
        <w:t>№</w:t>
      </w:r>
      <w:r>
        <w:rPr>
          <w:rFonts w:ascii="Liberation Serif" w:hAnsi="Liberation Serif"/>
        </w:rPr>
        <w:t xml:space="preserve"> ___</w:t>
      </w:r>
    </w:p>
    <w:p>
      <w:pPr>
        <w:pStyle w:val="Normal"/>
        <w:tabs>
          <w:tab w:val="clear" w:pos="708"/>
          <w:tab w:val="left" w:pos="1620" w:leader="none"/>
        </w:tabs>
        <w:ind w:left="5216" w:hanging="0"/>
        <w:jc w:val="both"/>
        <w:rPr>
          <w:rFonts w:ascii="Liberation Serif" w:hAnsi="Liberation Serif"/>
        </w:rPr>
      </w:pPr>
      <w:r>
        <w:rPr>
          <w:rFonts w:ascii="Liberation Serif" w:hAnsi="Liberation Serif"/>
        </w:rPr>
      </w:r>
    </w:p>
    <w:p>
      <w:pPr>
        <w:pStyle w:val="Normal"/>
        <w:tabs>
          <w:tab w:val="clear" w:pos="708"/>
          <w:tab w:val="left" w:pos="1620" w:leader="none"/>
        </w:tabs>
        <w:jc w:val="both"/>
        <w:rPr>
          <w:b/>
          <w:b/>
          <w:bCs/>
          <w:sz w:val="28"/>
          <w:szCs w:val="28"/>
        </w:rPr>
      </w:pPr>
      <w:r>
        <w:rPr>
          <w:b/>
          <w:bCs/>
          <w:sz w:val="28"/>
          <w:szCs w:val="28"/>
        </w:rPr>
      </w:r>
    </w:p>
    <w:p>
      <w:pPr>
        <w:pStyle w:val="ConsPlusTitle"/>
        <w:jc w:val="center"/>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ПОРЯДОК</w:t>
      </w:r>
    </w:p>
    <w:p>
      <w:pPr>
        <w:pStyle w:val="Normal"/>
        <w:tabs>
          <w:tab w:val="clear" w:pos="708"/>
          <w:tab w:val="left" w:pos="1620" w:leader="none"/>
        </w:tabs>
        <w:jc w:val="center"/>
        <w:rPr>
          <w:rFonts w:ascii="Liberation Serif;Times New Roma" w:hAnsi="Liberation Serif;Times New Roma" w:cs="Liberation Serif;Times New Roma"/>
          <w:b/>
          <w:b/>
          <w:bCs/>
          <w:sz w:val="28"/>
          <w:szCs w:val="28"/>
        </w:rPr>
      </w:pPr>
      <w:r>
        <w:rPr>
          <w:rFonts w:cs="Liberation Serif;Times New Roma" w:ascii="Liberation Serif;Times New Roma" w:hAnsi="Liberation Serif;Times New Roma"/>
          <w:b/>
          <w:bCs/>
          <w:sz w:val="28"/>
          <w:szCs w:val="28"/>
        </w:rPr>
        <w:t>санкционирования расходов участников казначейского сопровождения финансовым отделом администрации городского округа ЗАТО Свободный</w:t>
      </w:r>
    </w:p>
    <w:p>
      <w:pPr>
        <w:pStyle w:val="Normal"/>
        <w:tabs>
          <w:tab w:val="clear" w:pos="708"/>
          <w:tab w:val="left" w:pos="1620" w:leader="none"/>
        </w:tabs>
        <w:jc w:val="center"/>
        <w:rPr>
          <w:b/>
          <w:b/>
          <w:bCs/>
          <w:sz w:val="28"/>
          <w:szCs w:val="28"/>
        </w:rPr>
      </w:pPr>
      <w:r>
        <w:rPr>
          <w:b/>
          <w:bCs/>
          <w:sz w:val="28"/>
          <w:szCs w:val="28"/>
        </w:rPr>
      </w:r>
    </w:p>
    <w:p>
      <w:pPr>
        <w:pStyle w:val="Normal"/>
        <w:tabs>
          <w:tab w:val="clear" w:pos="708"/>
          <w:tab w:val="left" w:pos="1620" w:leader="none"/>
        </w:tabs>
        <w:jc w:val="center"/>
        <w:rPr>
          <w:b/>
          <w:b/>
          <w:bCs/>
          <w:sz w:val="28"/>
          <w:szCs w:val="28"/>
        </w:rPr>
      </w:pPr>
      <w:r>
        <w:rPr>
          <w:b/>
          <w:bCs/>
          <w:sz w:val="28"/>
          <w:szCs w:val="28"/>
        </w:rPr>
      </w:r>
    </w:p>
    <w:p>
      <w:pPr>
        <w:pStyle w:val="Normal"/>
        <w:ind w:firstLine="709"/>
        <w:jc w:val="both"/>
        <w:rPr>
          <w:rFonts w:ascii="Liberation Serif;Times New Roma" w:hAnsi="Liberation Serif;Times New Roma" w:cs="Liberation Serif;Times New Roma"/>
          <w:color w:val="000000"/>
          <w:sz w:val="28"/>
          <w:szCs w:val="28"/>
        </w:rPr>
      </w:pPr>
      <w:r>
        <w:rPr>
          <w:rFonts w:cs="Liberation Serif;Times New Roma" w:ascii="Liberation Serif;Times New Roma" w:hAnsi="Liberation Serif;Times New Roma"/>
          <w:color w:val="000000"/>
          <w:sz w:val="28"/>
          <w:szCs w:val="28"/>
        </w:rPr>
        <w:t>1. Настоящий порядок разработан в соответствии с пунктом 5 статьи 242.23 Бюджетного кодекса Российской Федерации и устанавливает порядок санкционирования расходов участников казначейского сопровождения финансовым отделом администрации городского округа ЗАТО Свободный, источником финансового обеспечения которых являются средства, предоставляемые юридическим лицам (не являющимся участниками бюджетного процесса, бюджетным и автономным учреждением), индивидуальным предпринимателям, физическим лицам – производителям товаров, работ, услуг (далее – участник казначейского сопровождения) из бюджета городского округа ЗАТО Свободный (далее – целевые расходы).</w:t>
      </w:r>
    </w:p>
    <w:p>
      <w:pPr>
        <w:pStyle w:val="Normal"/>
        <w:ind w:firstLine="709"/>
        <w:jc w:val="both"/>
        <w:rPr>
          <w:rFonts w:ascii="Liberation Serif;Times New Roma" w:hAnsi="Liberation Serif;Times New Roma" w:cs="Liberation Serif;Times New Roma"/>
          <w:color w:val="000000"/>
          <w:sz w:val="28"/>
          <w:szCs w:val="28"/>
        </w:rPr>
      </w:pPr>
      <w:r>
        <w:rPr>
          <w:rFonts w:cs="Liberation Serif;Times New Roma" w:ascii="Liberation Serif;Times New Roma" w:hAnsi="Liberation Serif;Times New Roma"/>
          <w:color w:val="000000"/>
          <w:sz w:val="28"/>
          <w:szCs w:val="28"/>
        </w:rPr>
        <w:t>2. Санкционирование целевых расходов участников казначейского сопровождения осуществляется на лицевом счете, предназначенном для осуществления и отражения операций с денежными средствами участников казначейского сопровождения, открытом в соответствии с порядком открытия и ведения лицевых счетов при осуществлении финансовым отделом администрации городского округа ЗАТО Свободный казначейского сопровождения средств (далее – лицевой счет), после проверки информации о суммах и направлениях расходования целевых средств, указанной в платежном поручении, на ее соответствие информации, содержащейся в муниципальном контракте на поставку товаров, выполнение работ, оказание услуг (далее – муниципальный контракт), договоре (соглашении) о предоставлении субсидии (далее – договор (соглашение)), контракте (договоре) на поставку товаров, выполнение работ, оказание услуг и договоре о предоставлении бюджетных инвестиций или взносов в уставные (складочные) капиталы (вкладов в имущество) юридических лиц (их дочерних обществ) (далее – контракт (договор о предоставлении инвестиций)), и документах, подтверждающих возникновение денежных обязательств.</w:t>
      </w:r>
    </w:p>
    <w:p>
      <w:pPr>
        <w:pStyle w:val="Normal"/>
        <w:ind w:firstLine="709"/>
        <w:jc w:val="both"/>
        <w:rPr>
          <w:rFonts w:ascii="Liberation Serif;Times New Roma" w:hAnsi="Liberation Serif;Times New Roma" w:cs="Liberation Serif;Times New Roma"/>
          <w:color w:val="000000"/>
          <w:sz w:val="28"/>
          <w:szCs w:val="28"/>
        </w:rPr>
      </w:pPr>
      <w:r>
        <w:rPr>
          <w:rFonts w:cs="Liberation Serif;Times New Roma" w:ascii="Liberation Serif;Times New Roma" w:hAnsi="Liberation Serif;Times New Roma"/>
          <w:color w:val="000000"/>
          <w:sz w:val="28"/>
          <w:szCs w:val="28"/>
        </w:rPr>
        <w:t>3. Участник казначейского сопровождения, являющийся получателем средств по муниципальному контракту, договору (соглашению), контракту (договору о предоставлении инвестиций) (далее – документ, обосновывающий обязательство) в целях санкционирования расходов, представляет в финансовый отдел администрации городского округа ЗАТО Свободный (далее – финансовый отдел) в соответствии с настоящим порядком на основании документа, обосновывающего обязательство, аналитического кода раздела, открываемого в разрезе каждого документа, обосновывающего обязательство, распоряжение в виде платежного поручения, оформленного в соответствии с требованиями, утвержденными Центральным банком Российской Федерации (далее – платежное поручение).</w:t>
      </w:r>
    </w:p>
    <w:p>
      <w:pPr>
        <w:pStyle w:val="Normal"/>
        <w:ind w:firstLine="709"/>
        <w:jc w:val="both"/>
        <w:rPr>
          <w:rFonts w:ascii="Liberation Serif" w:hAnsi="Liberation Serif" w:cs="Liberation Serif"/>
          <w:sz w:val="28"/>
          <w:szCs w:val="28"/>
        </w:rPr>
      </w:pPr>
      <w:r>
        <w:rPr>
          <w:rFonts w:cs="Liberation Serif;Times New Roma" w:ascii="Liberation Serif;Times New Roma" w:hAnsi="Liberation Serif;Times New Roma"/>
          <w:color w:val="000000"/>
          <w:sz w:val="28"/>
          <w:szCs w:val="28"/>
        </w:rPr>
        <w:t xml:space="preserve">4. </w:t>
      </w:r>
      <w:r>
        <w:rPr>
          <w:rFonts w:cs="Liberation Serif" w:ascii="Liberation Serif" w:hAnsi="Liberation Serif"/>
          <w:sz w:val="28"/>
          <w:szCs w:val="28"/>
        </w:rPr>
        <w:t xml:space="preserve">Для санкционирования целевых расходов участников казначейского сопровождения, источником финансового обеспечения которых являются целевые средства, участник казначейского сопровождения представляет в финансовый отдел сведения об операциях с целевыми средствами на текущий финансовый год и плановый период (далее – Сведения) по форме согласно приложению </w:t>
      </w:r>
      <w:r>
        <w:rPr>
          <w:rFonts w:cs="Liberation Serif" w:ascii="Liberation Serif" w:hAnsi="Liberation Serif"/>
          <w:sz w:val="28"/>
          <w:szCs w:val="28"/>
          <w:lang w:val="en-US"/>
        </w:rPr>
        <w:t>N</w:t>
      </w:r>
      <w:r>
        <w:rPr>
          <w:rFonts w:cs="Liberation Serif" w:ascii="Liberation Serif" w:hAnsi="Liberation Serif"/>
          <w:sz w:val="28"/>
          <w:szCs w:val="28"/>
        </w:rPr>
        <w:t xml:space="preserve"> 1 к настоящему порядку, в которых указываются источники поступлений целевых средств в соответствии с Перечнем источников поступлений целевых средств согласно приложению </w:t>
      </w:r>
      <w:r>
        <w:rPr>
          <w:rFonts w:cs="Liberation Serif" w:ascii="Liberation Serif" w:hAnsi="Liberation Serif"/>
          <w:sz w:val="28"/>
          <w:szCs w:val="28"/>
          <w:lang w:val="en-US"/>
        </w:rPr>
        <w:t>N</w:t>
      </w:r>
      <w:r>
        <w:rPr>
          <w:rFonts w:cs="Liberation Serif" w:ascii="Liberation Serif" w:hAnsi="Liberation Serif"/>
          <w:sz w:val="28"/>
          <w:szCs w:val="28"/>
        </w:rPr>
        <w:t xml:space="preserve"> 2 к настоящему порядку (далее – Перечень источников поступлений целевых средств), а также направления расходования целевых средств в соответствии с Перечнем направлений расходования целевых средств согласно приложению </w:t>
      </w:r>
      <w:r>
        <w:rPr>
          <w:rFonts w:cs="Liberation Serif" w:ascii="Liberation Serif" w:hAnsi="Liberation Serif"/>
          <w:sz w:val="28"/>
          <w:szCs w:val="28"/>
          <w:lang w:val="en-US"/>
        </w:rPr>
        <w:t>N</w:t>
      </w:r>
      <w:r>
        <w:rPr>
          <w:rFonts w:cs="Liberation Serif" w:ascii="Liberation Serif" w:hAnsi="Liberation Serif"/>
          <w:sz w:val="28"/>
          <w:szCs w:val="28"/>
        </w:rPr>
        <w:t xml:space="preserve"> 3 к настоящему порядку (далее – Перечень направлений расходования), соответствующие целям (предмету) документа, обосновывающего обязательство.</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Сведения представляются в электронном виде в программном комплексе "Бюджет–СМАРТ Про", подписываются усиленной квалифицированной электронной подписью уполномоченного лица участника казначейского сопровождения и подтверждаются усиленной квалифицированной электронной подписью получателя бюджетных средств, муниципального заказчика, заказчика–учреждения, юридического лица, предоставляющего целевые средства (далее – электронный вид). При отсутствии технической возможности Сведения, утвержденные получателем бюджетных средств, муниципальным заказчиком, заказчиком-учреждением, юридическим лицом, предоставляющим целевые средства, представляются на бумажном носителе в двух экземплярах.</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Финансовый отдел не позднее рабочего дня, следующего за днем представления участником казначейского сопровождения в финансовый отдел Сведений, осуществляет проверку правильности их заполнения.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В случае положительного результата проверки Сведений финансовый отдел не позднее второго рабочего дня, следующего за днем их представления, утверждает Сведения в программном комплексе "Бюджет–СМАРТ Про" или в случае их представления на бумажном носителе заносит их в программный комплекс "Бюджет–СМАРТ Про".</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В случае отрицательного результата проверки Сведений участнику казначейского сопровождения не позднее второго рабочего дня, следующего за днем их представления, направляется уведомление о выявленных несоответствиях в программном комплексе «Бюджет-СМАРТ Про» или в случае их представления на бумажном носителе уведомление о выявленных несоответствиях направляется с сопроводительным письмом.</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5. Сведения утверждаются на срок действия: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 муниципального контракта;</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2) договора (соглашения);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3) контракта (договора о предоставлении инвестиций).</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6. Сведения для участника казначейского сопровождения, являющегося: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а) исполнителем по контракту (договору) утверждаются муниципальным заказчиком по контракту (договору);</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б) получателем субсидии по соглашению утверждаются главным распорядителем бюджетных средств;</w:t>
      </w:r>
      <w:bookmarkStart w:id="0" w:name="P41"/>
      <w:bookmarkEnd w:id="0"/>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в) получателем субсидии, источником финансового обеспечения которых являются не использованные на начало текущего финансового года остатки субсидий,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субсидии, в отношении которых в установленном порядке принято решение об их использовании для достижения результатов, установленных при предоставлении целевых средств, утверждаются соответствующим главным распорядителем бюджетных средств.</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7. В Сведениях указывается следующая информация: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 в заголовочной части:</w:t>
      </w:r>
    </w:p>
    <w:p>
      <w:pPr>
        <w:pStyle w:val="Normal"/>
        <w:ind w:firstLine="539"/>
        <w:jc w:val="both"/>
        <w:rPr>
          <w:rFonts w:ascii="Liberation Serif" w:hAnsi="Liberation Serif" w:cs="Liberation Serif"/>
          <w:sz w:val="28"/>
          <w:szCs w:val="28"/>
          <w:highlight w:val="yellow"/>
        </w:rPr>
      </w:pPr>
      <w:r>
        <w:rPr>
          <w:rFonts w:cs="Liberation Serif" w:ascii="Liberation Serif" w:hAnsi="Liberation Serif"/>
          <w:sz w:val="28"/>
          <w:szCs w:val="28"/>
        </w:rPr>
        <w:t>дата составления Сведений, а также дата представления предыдущих Сведений;</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информация об участнике казначейского сопровождения: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наименование участника казначейского сопровождения;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уникальный код участника казначейского сопровождения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номер лицевого счета;</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аналитический код раздела на лицевом счете;</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идентификационный номер налогоплательщика (далее – ИНН);</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код причины постановки на учет в налоговом органе (далее – КПП);</w:t>
      </w:r>
    </w:p>
    <w:p>
      <w:pPr>
        <w:pStyle w:val="Normal"/>
        <w:ind w:firstLine="539"/>
        <w:jc w:val="both"/>
        <w:rPr>
          <w:rFonts w:ascii="Liberation Serif" w:hAnsi="Liberation Serif" w:cs="Liberation Serif"/>
          <w:sz w:val="28"/>
          <w:szCs w:val="28"/>
        </w:rPr>
      </w:pPr>
      <w:bookmarkStart w:id="1" w:name="_GoBack"/>
      <w:bookmarkEnd w:id="1"/>
      <w:r>
        <w:rPr>
          <w:rFonts w:cs="Liberation Serif" w:ascii="Liberation Serif" w:hAnsi="Liberation Serif"/>
          <w:sz w:val="28"/>
          <w:szCs w:val="28"/>
        </w:rPr>
        <w:t>бюджет городского округа ЗАТО Свободный;</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информация о получателе бюджетных средств, муниципальном заказчике, заказчике–учреждении, юридическом лице:</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уникальный код по Сводному реестру (при наличии);</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номер лицевого счета;</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аналитический код раздела на лицевом счете;</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наименование финансового органа, в котором участнику казначейского сопровождения открыт лицевой счет;</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наименование документа, обосновывающего обязательство с указанием номера, даты и идентификатора, и срок действия документа, обосновывающего обязательство, с указанием даты начала и даты окончания срока действия документа;</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общий объем целевых средств в денежном выражении, предусмотренный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2) в табличной части:</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графа 1 - наименование источника целевых средств, а также сумма планируемых поступлений целевых средств по соответствующему источнику поступлений целевых средств;</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графа 2 - код источника поступлений или код направления расходования целевых средств;</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графа 3 - разрешенный к использованию остаток целевых средств на начало года;</w:t>
      </w:r>
    </w:p>
    <w:p>
      <w:pPr>
        <w:pStyle w:val="Normal"/>
        <w:ind w:firstLine="539"/>
        <w:jc w:val="both"/>
        <w:rPr>
          <w:rFonts w:ascii="Liberation Serif" w:hAnsi="Liberation Serif" w:cs="Liberation Serif"/>
          <w:sz w:val="28"/>
          <w:szCs w:val="28"/>
          <w:highlight w:val="yellow"/>
        </w:rPr>
      </w:pPr>
      <w:r>
        <w:rPr>
          <w:rFonts w:cs="Liberation Serif" w:ascii="Liberation Serif" w:hAnsi="Liberation Serif"/>
          <w:sz w:val="28"/>
          <w:szCs w:val="28"/>
        </w:rPr>
        <w:t>графа 4 - сумма возврата дебиторской задолженности прошлых лет, разрешенная к использованию;</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3) подпись участников казначейского сопровождения (с расшифровкой): руководителя (иного уполномоченного лица), руководителя финансово-экономической службы (иного уполномоченного лица) (при наличии), ответственного исполнителя с указанием должности - и дата подписания документа, а также номер контактного телефона с указанием кода города ответственного исполнителя.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8. При внесении изменений в Сведения участник казначейского сопровождения представляет в соответствии с настоящим порядком в финансовый отдел Сведения, в которых указываются показатели с учетом внесенных в Сведения изменений.</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9. Операции по целевым расходам осуществляются в пределах остатка средств, отраженных по соответствующему Идентификатору на лицевом счете целевых расходов.</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Суммы, зачисленные на казначейский счет финансового отдела для осуществления и отражения операций с денежными средствами участников казначейского сопровождения, на основании расчетных документов, в которых не указан Идентификатор или указан несуществующий Идентификатор и (или) лицевой счет, учитываются финансовым отделом на казначейском счете для осуществления и отражения операций с денежными средствами участников казначейского сопровождения как невыясненные поступления.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Невыясненные поступления по запросу финансового отдела подлежат уточнению участником казначейского сопровождения в течение 10 рабочих дней со дня их поступления на казначейский счет для осуществления и отражения операций с денежными средствами участников казначейского сопровождения. В случае если в течение указанного срока вышеуказанные основания для учета поступлений как невыясненных не устранены, финансовый отдел возвращает данные суммы отправителю.</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 xml:space="preserve">На основании информации, представленной участником казначейского сопровождения по уточнению невыясненных поступлений, финансовый отдел формирует уведомление об уточнении операций клиента по форме согласно приложению </w:t>
      </w:r>
      <w:r>
        <w:rPr>
          <w:rFonts w:cs="Liberation Serif" w:ascii="Liberation Serif" w:hAnsi="Liberation Serif"/>
          <w:sz w:val="28"/>
          <w:szCs w:val="28"/>
          <w:lang w:val="en-US"/>
        </w:rPr>
        <w:t>N</w:t>
      </w:r>
      <w:r>
        <w:rPr>
          <w:rFonts w:cs="Liberation Serif" w:ascii="Liberation Serif" w:hAnsi="Liberation Serif"/>
          <w:sz w:val="28"/>
          <w:szCs w:val="28"/>
        </w:rPr>
        <w:t xml:space="preserve"> 5 к настоящему порядку и осуществляет зачисление (восстановление кассовых выплат) без списания–зачисления средств на казначейском счете для осуществления и отражения операций с денежными средствами участников казначейского сопровождения с отражением на соответствующем лицевом счете участника казначейского сопровождения.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10. Устанавливается запрет на перечисление целевых средств с лицевого счета:</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кредитной организации (далее – банк);</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2) в целях размещения средств на депозитах, а также в иные финансовые инструменты, за исключением случаев, установленных действующим законодательством;</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3) на счета, открытые в банке участнику казначейского сопровождения целевых средств, за исключением:</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оплаты обязательств участника казначейского сопровождения целевых средств в соответствии с валютным законодательством Российской Федерации;</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оплаты обязательств участника казначейского сопровождения целевых средств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 w:name="P88"/>
      <w:bookmarkEnd w:id="2"/>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 средств (далее – документы–основания);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возмещения произведенных участником казначейского сопровождения целевых средств расходов (части расходов) при условии представления документов в соответствии с абзацем четвертым настоящего подпункта,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средств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 целевых средств, если условиями муниципального контракта, договора (соглашения), контракта (договора) предусмотрено возмещение произведенных участником казначейского сопровождения целевых средств расходов (части расходов);</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4) на счета, открытые в банках юридическим лицам, заключившим с участником казначейского сопровождения целевых средств договоры (соглашения), контракты (договоры), за исключением договоров (соглашений),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целевых средств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Российской Федерации, приобретения услуг по приему платежей от физических лиц, осуществляемых платежными агентами.</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11. Документы, обосновывающие обязательство, вместе с платежным поручением на оплату целевых расходов и документами–основаниями представляются в электронном виде в программном комплексе "Бюджет–СМАРТ Про" и подписываются усиленной квалифицированной электронной подписью уполномоченного лица участника казначейского сопровождения. В случае невозможности осуществления информационного обмена документами в электронном виде платежные поручения представляются на бумажном носителе в двух экземплярах с одновременным представлением в электронном виде на съемном машинном носителе информации (далее – бумажный носитель).</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Платежные поручения на бумажном носителе подписываются руководителем и главным бухгалтером (при наличии) (уполномоченными руководителем лицами) участника казначейского сопровождения.</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При предоставлении в финансовый отдел платежных поручений на бумажном носителе финансовым отделом дополнительно производится проверка на соответствие подписей руководителя и главного бухгалтера (иных уполномоченных руководителем лиц) имеющимся образцам, представленным участником казначейского сопровождения в порядке, установленном финансовым отделом для открытия соответствующего лицевого счета.</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Финансовый отдел не позднее рабочего дня, следующего за днем представления участником казначейского сопровождения в финансовый отдел документов на бумажном носителе, проверяет их на идентичность документам, представленным на машинном носителе.</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Платежные поручения, поступившие в электронном виде в программном комплексе "Бюджет–СМАРТ Про", автоматически проверяются в информационной системе на наличие и достоверность усиленной квалифицированной электронной подписи.</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Платежные поручения подлежат проверке не позднее рабочего дня, следующего за днем их представления участником казначейского сопровождения в финансовый отдел.</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12. Финансовый отдел при санкционировании целевых расходов осуществляет проверку представленных участником казначейского сопровождения документов по следующим направлениям:</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 соответствия Идентификатора, указанного в платежном поручении, Идентификатору, указанному в муниципальном контракте, договоре (соглашении), контракте (договоре о предоставлении инвестиций), документах-основаниях и Сведениях;</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2) наличие аналитического кода раздела на лицевом счете при перечислении целевых средств на лицевой счет;</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3) соответствия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4) непревышения суммы, указанной в платежном поручении, над суммой остатка средств по соответствующему направлению расходования целевых средств, указанному в Сведениях, и суммой остатка средств на лицевом счете по соответствующему документу, обосновывающему обязательство;</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5) наличия в платежном поручении, связанном с поставкой товаров (выполнением работ, оказанием услуг), реквизитов (типа, номера, даты)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платежным поручением в финансовый отдел;</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6) 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поручении, предмету (результатам) и условиям документа, обосновывающего обязательство;</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7) соответствия текстового назначения платежа, указанного в платежном поручении, направлению расходования целевых средств, указанному в Сведениях.</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 xml:space="preserve">13. </w:t>
      </w:r>
      <w:hyperlink r:id="rId4">
        <w:r>
          <w:rPr>
            <w:rFonts w:cs="Liberation Serif" w:ascii="Liberation Serif" w:hAnsi="Liberation Serif"/>
            <w:sz w:val="28"/>
            <w:szCs w:val="28"/>
          </w:rPr>
          <w:t>Информация</w:t>
        </w:r>
      </w:hyperlink>
      <w:r>
        <w:rPr>
          <w:rFonts w:cs="Liberation Serif" w:ascii="Liberation Serif" w:hAnsi="Liberation Serif"/>
          <w:sz w:val="28"/>
          <w:szCs w:val="28"/>
        </w:rPr>
        <w:t xml:space="preserve"> о принятых к исполнению платежных поручениях в случае перечисления денежных средств на сумму 600 тысяч рублей и более на банковские счета, открытые в кредитных организациях, за исключением выплат, предусмотренных трудовым законодательством Российской Федерации персоналу участников казначейского сопровождения, указанных в </w:t>
      </w:r>
      <w:hyperlink r:id="rId5">
        <w:r>
          <w:rPr>
            <w:rFonts w:cs="Liberation Serif" w:ascii="Liberation Serif" w:hAnsi="Liberation Serif"/>
            <w:sz w:val="28"/>
            <w:szCs w:val="28"/>
          </w:rPr>
          <w:t>приложении N 3</w:t>
        </w:r>
      </w:hyperlink>
      <w:r>
        <w:rPr>
          <w:rFonts w:cs="Liberation Serif" w:ascii="Liberation Serif" w:hAnsi="Liberation Serif"/>
          <w:sz w:val="28"/>
          <w:szCs w:val="28"/>
        </w:rPr>
        <w:t xml:space="preserve"> к настоящему порядку, и платежей по контрактам (договорам), указанным в </w:t>
      </w:r>
      <w:hyperlink r:id="rId6">
        <w:r>
          <w:rPr>
            <w:rFonts w:cs="Liberation Serif" w:ascii="Liberation Serif" w:hAnsi="Liberation Serif"/>
            <w:sz w:val="28"/>
            <w:szCs w:val="28"/>
          </w:rPr>
          <w:t>подпункте 4 пункта 3 статьи 242.23</w:t>
        </w:r>
      </w:hyperlink>
      <w:r>
        <w:rPr>
          <w:rFonts w:cs="Liberation Serif" w:ascii="Liberation Serif" w:hAnsi="Liberation Serif"/>
          <w:sz w:val="28"/>
          <w:szCs w:val="28"/>
        </w:rPr>
        <w:t xml:space="preserve"> Бюджетного кодекса Российской Федерации, направляется финансовым отделом в территориальный орган Федерального казначейства для осуществления бюджетного мониторинга в системе казначейских платежей (далее - бюджетный мониторинг) по форме согласно приложению N 6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утвержденному Приказом Министерства финансов Российской Федерации от 17.12.2021 N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 органами Федерального казначейства).</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 xml:space="preserve">При получении финансовым отделом информации от территориального органа Федерального казначейства по результатам проверки в рамках бюджетного мониторинга по форме согласно </w:t>
      </w:r>
      <w:hyperlink r:id="rId7">
        <w:r>
          <w:rPr>
            <w:rFonts w:cs="Liberation Serif" w:ascii="Liberation Serif" w:hAnsi="Liberation Serif"/>
            <w:sz w:val="28"/>
            <w:szCs w:val="28"/>
          </w:rPr>
          <w:t>приложению N 6</w:t>
        </w:r>
      </w:hyperlink>
      <w:r>
        <w:rPr>
          <w:rFonts w:cs="Liberation Serif" w:ascii="Liberation Serif" w:hAnsi="Liberation Serif"/>
          <w:sz w:val="28"/>
          <w:szCs w:val="28"/>
        </w:rPr>
        <w:t xml:space="preserve"> к Порядку санкционирования органами Федерального казначейства об отсутствии оснований для применения мер реагирования, платежные поручения направляются финансовым отделом в территориальный орган Федерального казначейства для их исполнения не позднее второго рабочего дня, следующего за днем получения вышеуказанной информации финансовым отделом.</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 xml:space="preserve">В случае получения от территориального органа Федерального казначейства по результатам проверки в рамках бюджетного мониторинга информации о применении мер реагирования, указанных в </w:t>
      </w:r>
      <w:hyperlink r:id="rId8">
        <w:r>
          <w:rPr>
            <w:rFonts w:cs="Liberation Serif" w:ascii="Liberation Serif" w:hAnsi="Liberation Serif"/>
            <w:sz w:val="28"/>
            <w:szCs w:val="28"/>
          </w:rPr>
          <w:t>подпунктах "б"</w:t>
        </w:r>
      </w:hyperlink>
      <w:r>
        <w:rPr>
          <w:rFonts w:cs="Liberation Serif" w:ascii="Liberation Serif" w:hAnsi="Liberation Serif"/>
          <w:sz w:val="28"/>
          <w:szCs w:val="28"/>
        </w:rPr>
        <w:t xml:space="preserve"> - </w:t>
      </w:r>
      <w:hyperlink r:id="rId9">
        <w:r>
          <w:rPr>
            <w:rFonts w:cs="Liberation Serif" w:ascii="Liberation Serif" w:hAnsi="Liberation Serif"/>
            <w:sz w:val="28"/>
            <w:szCs w:val="28"/>
          </w:rPr>
          <w:t>"г" пункта 14</w:t>
        </w:r>
      </w:hyperlink>
      <w:r>
        <w:rPr>
          <w:rFonts w:cs="Liberation Serif" w:ascii="Liberation Serif" w:hAnsi="Liberation Serif"/>
          <w:sz w:val="28"/>
          <w:szCs w:val="28"/>
        </w:rPr>
        <w:t xml:space="preserve"> Порядка санкционирования органами Федерального казначейства, по форме согласно </w:t>
      </w:r>
      <w:hyperlink r:id="rId10">
        <w:r>
          <w:rPr>
            <w:rFonts w:cs="Liberation Serif" w:ascii="Liberation Serif" w:hAnsi="Liberation Serif"/>
            <w:sz w:val="28"/>
            <w:szCs w:val="28"/>
          </w:rPr>
          <w:t>приложению N 6</w:t>
        </w:r>
      </w:hyperlink>
      <w:r>
        <w:rPr>
          <w:rFonts w:cs="Liberation Serif" w:ascii="Liberation Serif" w:hAnsi="Liberation Serif"/>
          <w:sz w:val="28"/>
          <w:szCs w:val="28"/>
        </w:rPr>
        <w:t xml:space="preserve"> к Порядку санкционирования органами Федерального казначейства, финансовый отдел:</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 xml:space="preserve">1) при получении информации о применении мер реагирования, предусмотренных </w:t>
      </w:r>
      <w:hyperlink r:id="rId11">
        <w:r>
          <w:rPr>
            <w:rFonts w:cs="Liberation Serif" w:ascii="Liberation Serif" w:hAnsi="Liberation Serif"/>
            <w:sz w:val="28"/>
            <w:szCs w:val="28"/>
          </w:rPr>
          <w:t>подпунктом "б" пункта 14</w:t>
        </w:r>
      </w:hyperlink>
      <w:r>
        <w:rPr>
          <w:rFonts w:cs="Liberation Serif" w:ascii="Liberation Serif" w:hAnsi="Liberation Serif"/>
          <w:sz w:val="28"/>
          <w:szCs w:val="28"/>
        </w:rPr>
        <w:t xml:space="preserve"> Порядка санкционирования органами Федерального казначейства, не позднее рабочего дня, следующего за днем получения указанной информации, направляет участнику казначейского сопровождения, получателю бюджетных средств, муниципальному заказчику, заказчику-учреждению, юридическому лицу, предоставляющему целевые средства, </w:t>
      </w:r>
      <w:hyperlink r:id="rId12">
        <w:r>
          <w:rPr>
            <w:rFonts w:cs="Liberation Serif" w:ascii="Liberation Serif" w:hAnsi="Liberation Serif"/>
            <w:sz w:val="28"/>
            <w:szCs w:val="28"/>
          </w:rPr>
          <w:t>Уведомление</w:t>
        </w:r>
      </w:hyperlink>
      <w:r>
        <w:rPr>
          <w:rFonts w:cs="Liberation Serif" w:ascii="Liberation Serif" w:hAnsi="Liberation Serif"/>
          <w:sz w:val="28"/>
          <w:szCs w:val="28"/>
        </w:rPr>
        <w:t xml:space="preserve"> о запрете (об отказе) осуществления операции на лицевом счете (об отмене запрета (отказа) осуществления операции на лицевом счете) по форме согласно приложению N 6 к настоящему порядку и в этот же срок возвращает платежное поручение без исполнения;</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 xml:space="preserve">2) при получении от территориального органа Федерального казначейства информации о применении мер реагирования, предусмотренных </w:t>
      </w:r>
      <w:hyperlink r:id="rId13">
        <w:r>
          <w:rPr>
            <w:rFonts w:cs="Liberation Serif" w:ascii="Liberation Serif" w:hAnsi="Liberation Serif"/>
            <w:sz w:val="28"/>
            <w:szCs w:val="28"/>
          </w:rPr>
          <w:t>подпунктом "в" пункта 14</w:t>
        </w:r>
      </w:hyperlink>
      <w:r>
        <w:rPr>
          <w:rFonts w:cs="Liberation Serif" w:ascii="Liberation Serif" w:hAnsi="Liberation Serif"/>
          <w:sz w:val="28"/>
          <w:szCs w:val="28"/>
        </w:rPr>
        <w:t xml:space="preserve"> Порядка санкционирования органами Федерального казначейства, не позднее рабочего дня, следующего за получением указанной информации, направляет участнику казначейского сопровождения, получателю бюджетных средств, муниципальному заказчику, заказчику-учреждению, юридическому лицу, предоставляющему целевые средства, </w:t>
      </w:r>
      <w:hyperlink r:id="rId14">
        <w:r>
          <w:rPr>
            <w:rFonts w:cs="Liberation Serif" w:ascii="Liberation Serif" w:hAnsi="Liberation Serif"/>
            <w:sz w:val="28"/>
            <w:szCs w:val="28"/>
          </w:rPr>
          <w:t>Уведомление</w:t>
        </w:r>
      </w:hyperlink>
      <w:r>
        <w:rPr>
          <w:rFonts w:cs="Liberation Serif" w:ascii="Liberation Serif" w:hAnsi="Liberation Serif"/>
          <w:sz w:val="28"/>
          <w:szCs w:val="28"/>
        </w:rPr>
        <w:t xml:space="preserve"> о приостановлении операции на лицевом счете по форме согласно приложению  N 7 к настоящему порядку.</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 xml:space="preserve">Получатель бюджетных средств, муниципальный заказчик, заказчик-учреждение, юридическое лицо, предоставляющее целевые средства, не позднее второго рабочего дня, следующего за днем получения от финансового отдела </w:t>
      </w:r>
      <w:hyperlink r:id="rId15">
        <w:r>
          <w:rPr>
            <w:rFonts w:cs="Liberation Serif" w:ascii="Liberation Serif" w:hAnsi="Liberation Serif"/>
            <w:sz w:val="28"/>
            <w:szCs w:val="28"/>
          </w:rPr>
          <w:t>Уведомления</w:t>
        </w:r>
      </w:hyperlink>
      <w:r>
        <w:rPr>
          <w:rFonts w:cs="Liberation Serif" w:ascii="Liberation Serif" w:hAnsi="Liberation Serif"/>
          <w:sz w:val="28"/>
          <w:szCs w:val="28"/>
        </w:rPr>
        <w:t xml:space="preserve"> о приостановлении операции на лицевом счете, направляет в финансовый отдел Уведомление об обоснованности или о необоснованности приостановления операции на лицевом счете по форме согласно приложению N 8 к настоящему порядку, в котором отражается соответствующее решение получателя бюджетных средств, муниципального заказчика, заказчика-учреждения, юридического лица, предоставляющего целевые средства.</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В случае непоступления в финансовый отдел от получателя бюджетных средств, муниципального заказчика, заказчика-учреждения, юридического лица, предоставляющего целевые средства, Уведомления об обоснованности или о необоснованности приостановления операции на лицевом счете в течение трех рабочих дней со дня информирования финансовым отделом получателя бюджетных средств, муниципального заказчика, заказчика-учреждения, юридического лица, предоставляющего целевые средства, финансовый отдел направляет платежное поручение в территориальный орган Федерального казначейства для его исполнения;</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 xml:space="preserve">3) при получении от территориального органа Федерального казначейства информации о применении мер реагирования, предусмотренных </w:t>
      </w:r>
      <w:hyperlink r:id="rId16">
        <w:r>
          <w:rPr>
            <w:rFonts w:cs="Liberation Serif" w:ascii="Liberation Serif" w:hAnsi="Liberation Serif"/>
            <w:sz w:val="28"/>
            <w:szCs w:val="28"/>
          </w:rPr>
          <w:t>подпунктом "г" пункта 14</w:t>
        </w:r>
      </w:hyperlink>
      <w:r>
        <w:rPr>
          <w:rFonts w:cs="Liberation Serif" w:ascii="Liberation Serif" w:hAnsi="Liberation Serif"/>
          <w:sz w:val="28"/>
          <w:szCs w:val="28"/>
        </w:rPr>
        <w:t xml:space="preserve"> Порядка санкционирования органами Федерального казначейства, не позднее рабочего дня, следующего за днем получения указанной информации, направляет участнику казначейского сопровождения, получателю бюджетных средств, муниципальному заказчику, заказчику-учреждению, юридическому лицу, предоставляющему целевые средства, </w:t>
      </w:r>
      <w:hyperlink r:id="rId17">
        <w:r>
          <w:rPr>
            <w:rFonts w:cs="Liberation Serif" w:ascii="Liberation Serif" w:hAnsi="Liberation Serif"/>
            <w:sz w:val="28"/>
            <w:szCs w:val="28"/>
          </w:rPr>
          <w:t>Предупреждение (информирование)</w:t>
        </w:r>
      </w:hyperlink>
      <w:r>
        <w:rPr>
          <w:rFonts w:cs="Liberation Serif" w:ascii="Liberation Serif" w:hAnsi="Liberation Serif"/>
          <w:sz w:val="28"/>
          <w:szCs w:val="28"/>
        </w:rPr>
        <w:t xml:space="preserve"> о наличии признаков финансовых нарушений по форме согласно приложению N 9 к настоящему порядку и направляет платежное поручение в территориальный орган Федерального казначейства для его исполнения.</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При получении от территориального органа Федерального казначейства информации об отмене примененных мер реагирования на лицевом счете участника казначейского сопровождения финансовый отдел не позднее следующего рабочего дня направляет указанную информацию с сопроводительным письмом участнику казначейского сопровождения и получателю бюджетных средств, муниципальному заказчику, заказчику-учреждению, юридическому лицу, предоставляющему целевые средства.</w:t>
      </w:r>
    </w:p>
    <w:p>
      <w:pPr>
        <w:pStyle w:val="Normal"/>
        <w:suppressAutoHyphens w:val="false"/>
        <w:ind w:firstLine="539"/>
        <w:jc w:val="both"/>
        <w:rPr>
          <w:rFonts w:ascii="Liberation Serif" w:hAnsi="Liberation Serif" w:cs="Liberation Serif"/>
          <w:sz w:val="28"/>
          <w:szCs w:val="28"/>
        </w:rPr>
      </w:pPr>
      <w:r>
        <w:rPr>
          <w:rFonts w:cs="Liberation Serif" w:ascii="Liberation Serif" w:hAnsi="Liberation Serif"/>
          <w:sz w:val="28"/>
          <w:szCs w:val="28"/>
        </w:rPr>
        <w:t>При возврате документов, предусмотренных настоящим порядком, финансовый отдел возвращает участнику казначейского сопровождения экземпляры документов на бумажном носителе, если документы представлялись в финансовый отдел на бумажном носителе, с приложением уведомления, в котором указывается причина возврата, либо направляет участнику казначейского сопровождения уведомление с указанием причины возврата в электронном виде, если документы представлялись в электронном виде.</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14. Финансовый отдел при несоответствии платежных поручений и документов–оснований требованиям настоящего порядка не позднее рабочего дня, следующего за днем представления участником казначейского сопровождения в финансовый отдел платежных поручений и (или) документов–оснований (реестра документов–оснований) (при наличии), осуществляет процедуру возврата платежного поручения (документов–оснований, реестра документов–оснований).</w:t>
      </w:r>
    </w:p>
    <w:p>
      <w:pPr>
        <w:pStyle w:val="Normal"/>
        <w:ind w:firstLine="539"/>
        <w:jc w:val="both"/>
        <w:rPr>
          <w:rFonts w:ascii="Liberation Serif" w:hAnsi="Liberation Serif" w:cs="Liberation Serif"/>
          <w:sz w:val="28"/>
          <w:szCs w:val="28"/>
        </w:rPr>
      </w:pPr>
      <w:r>
        <w:rPr>
          <w:rFonts w:cs="Liberation Serif" w:ascii="Liberation Serif" w:hAnsi="Liberation Serif"/>
          <w:sz w:val="28"/>
          <w:szCs w:val="28"/>
        </w:rPr>
        <w:t>При возврате документов, предусмотренных настоящим порядком, финансовый отдел возвращает участнику казначейского сопровождения экземпляры документов на бумажном носителе, если документы представлялись в финансовый отдел на бумажном носителе, с приложением уведомления, в котором указывается причина возврата, либо направляет уведомление с указанием причины возврата в электронном виде, если документы представлялись в электронном виде.</w:t>
      </w:r>
    </w:p>
    <w:p>
      <w:pPr>
        <w:pStyle w:val="Western"/>
        <w:spacing w:lineRule="auto" w:line="240" w:before="280" w:after="0"/>
        <w:jc w:val="both"/>
        <w:rPr/>
      </w:pPr>
      <w:r>
        <w:rPr/>
      </w:r>
    </w:p>
    <w:p>
      <w:pPr>
        <w:pStyle w:val="Normal"/>
        <w:tabs>
          <w:tab w:val="clear" w:pos="708"/>
          <w:tab w:val="left" w:pos="1620" w:leader="none"/>
        </w:tabs>
        <w:jc w:val="both"/>
        <w:rPr>
          <w:b/>
          <w:b/>
          <w:bCs/>
          <w:sz w:val="28"/>
          <w:szCs w:val="28"/>
        </w:rPr>
      </w:pPr>
      <w:r>
        <w:rPr/>
      </w:r>
    </w:p>
    <w:sectPr>
      <w:headerReference w:type="default" r:id="rId18"/>
      <w:type w:val="nextPage"/>
      <w:pgSz w:w="11906" w:h="16838"/>
      <w:pgMar w:left="1701" w:right="567" w:gutter="0" w:header="709" w:top="1134" w:footer="0" w:bottom="1134"/>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r>
  </w:p>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57d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5">
    <w:name w:val="Heading 5"/>
    <w:basedOn w:val="Normal"/>
    <w:next w:val="Normal"/>
    <w:qFormat/>
    <w:rsid w:val="007a14e2"/>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44413d"/>
    <w:rPr>
      <w:b/>
      <w:bCs/>
    </w:rPr>
  </w:style>
  <w:style w:type="character" w:styleId="Style13">
    <w:name w:val="Hyperlink"/>
    <w:basedOn w:val="DefaultParagraphFont"/>
    <w:unhideWhenUsed/>
    <w:rsid w:val="00996f83"/>
    <w:rPr>
      <w:color w:val="0000FF" w:themeColor="hyperlink"/>
      <w:u w:val="single"/>
    </w:rPr>
  </w:style>
  <w:style w:type="character" w:styleId="Style14" w:customStyle="1">
    <w:name w:val="Верхний колонтитул Знак"/>
    <w:basedOn w:val="DefaultParagraphFont"/>
    <w:uiPriority w:val="99"/>
    <w:qFormat/>
    <w:rsid w:val="00ba2ef1"/>
    <w:rPr>
      <w:sz w:val="24"/>
      <w:szCs w:val="24"/>
    </w:rPr>
  </w:style>
  <w:style w:type="character" w:styleId="Style15" w:customStyle="1">
    <w:name w:val="Нижний колонтитул Знак"/>
    <w:basedOn w:val="DefaultParagraphFont"/>
    <w:qFormat/>
    <w:rsid w:val="00ba2ef1"/>
    <w:rPr>
      <w:sz w:val="24"/>
      <w:szCs w:val="24"/>
    </w:rPr>
  </w:style>
  <w:style w:type="character" w:styleId="PlaceholderText">
    <w:name w:val="Placeholder Text"/>
    <w:basedOn w:val="DefaultParagraphFont"/>
    <w:uiPriority w:val="99"/>
    <w:semiHidden/>
    <w:qFormat/>
    <w:rsid w:val="00150802"/>
    <w:rPr>
      <w:color w:val="808080"/>
    </w:rPr>
  </w:style>
  <w:style w:type="character" w:styleId="Style16" w:customStyle="1">
    <w:name w:val="FollowedHyperlink"/>
    <w:rPr>
      <w:color w:val="800000"/>
      <w:u w:val="single"/>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BalloonText">
    <w:name w:val="Balloon Text"/>
    <w:basedOn w:val="Normal"/>
    <w:semiHidden/>
    <w:qFormat/>
    <w:rsid w:val="00882c35"/>
    <w:pPr/>
    <w:rPr>
      <w:rFonts w:ascii="Tahoma" w:hAnsi="Tahoma" w:cs="Tahoma"/>
      <w:sz w:val="16"/>
      <w:szCs w:val="16"/>
    </w:rPr>
  </w:style>
  <w:style w:type="paragraph" w:styleId="Style22" w:customStyle="1">
    <w:name w:val="Верхний и нижний колонтитулы"/>
    <w:basedOn w:val="Normal"/>
    <w:qFormat/>
    <w:pPr/>
    <w:rPr/>
  </w:style>
  <w:style w:type="paragraph" w:styleId="Style23">
    <w:name w:val="Колонтитул"/>
    <w:basedOn w:val="Normal"/>
    <w:qFormat/>
    <w:pPr/>
    <w:rPr/>
  </w:style>
  <w:style w:type="paragraph" w:styleId="Style24">
    <w:name w:val="Header"/>
    <w:basedOn w:val="Normal"/>
    <w:uiPriority w:val="99"/>
    <w:unhideWhenUsed/>
    <w:rsid w:val="00ba2ef1"/>
    <w:pPr>
      <w:tabs>
        <w:tab w:val="clear" w:pos="708"/>
        <w:tab w:val="center" w:pos="4677" w:leader="none"/>
        <w:tab w:val="right" w:pos="9355" w:leader="none"/>
      </w:tabs>
    </w:pPr>
    <w:rPr/>
  </w:style>
  <w:style w:type="paragraph" w:styleId="Style25">
    <w:name w:val="Footer"/>
    <w:basedOn w:val="Normal"/>
    <w:unhideWhenUsed/>
    <w:rsid w:val="00ba2ef1"/>
    <w:pPr>
      <w:tabs>
        <w:tab w:val="clear" w:pos="708"/>
        <w:tab w:val="center" w:pos="4677" w:leader="none"/>
        <w:tab w:val="right" w:pos="9355" w:leader="none"/>
      </w:tabs>
    </w:pPr>
    <w:rPr/>
  </w:style>
  <w:style w:type="paragraph" w:styleId="ListParagraph">
    <w:name w:val="List Paragraph"/>
    <w:basedOn w:val="Normal"/>
    <w:uiPriority w:val="34"/>
    <w:qFormat/>
    <w:rsid w:val="0041107b"/>
    <w:pPr>
      <w:spacing w:before="0" w:after="0"/>
      <w:ind w:left="720" w:hanging="0"/>
      <w:contextualSpacing/>
    </w:pPr>
    <w:rPr/>
  </w:style>
  <w:style w:type="paragraph" w:styleId="ConsPlusTitle" w:customStyle="1">
    <w:name w:val="ConsPlusTitle"/>
    <w:qFormat/>
    <w:rsid w:val="005f6f06"/>
    <w:pPr>
      <w:widowControl w:val="false"/>
      <w:suppressAutoHyphens w:val="true"/>
      <w:bidi w:val="0"/>
      <w:spacing w:before="0" w:after="0"/>
      <w:jc w:val="left"/>
    </w:pPr>
    <w:rPr>
      <w:rFonts w:ascii="Calibri" w:hAnsi="Calibri" w:cs="Calibri" w:eastAsia="Times New Roman"/>
      <w:b/>
      <w:color w:val="auto"/>
      <w:kern w:val="0"/>
      <w:sz w:val="22"/>
      <w:szCs w:val="20"/>
      <w:lang w:val="ru-RU" w:eastAsia="ru-RU" w:bidi="ar-SA"/>
    </w:rPr>
  </w:style>
  <w:style w:type="paragraph" w:styleId="ConsPlusNormal" w:customStyle="1">
    <w:name w:val="ConsPlusNormal"/>
    <w:qFormat/>
    <w:pPr>
      <w:widowControl w:val="false"/>
      <w:suppressAutoHyphens w:val="true"/>
      <w:bidi w:val="0"/>
      <w:spacing w:before="0" w:after="0"/>
      <w:jc w:val="left"/>
    </w:pPr>
    <w:rPr>
      <w:rFonts w:ascii="Calibri" w:hAnsi="Calibri" w:cs="Calibri" w:eastAsia="Times New Roman"/>
      <w:color w:val="auto"/>
      <w:kern w:val="0"/>
      <w:sz w:val="22"/>
      <w:szCs w:val="20"/>
      <w:lang w:eastAsia="zh-CN" w:val="ru-RU" w:bidi="ar-SA"/>
    </w:rPr>
  </w:style>
  <w:style w:type="paragraph" w:styleId="NormalWeb">
    <w:name w:val="Normal (Web)"/>
    <w:basedOn w:val="Normal"/>
    <w:uiPriority w:val="99"/>
    <w:semiHidden/>
    <w:unhideWhenUsed/>
    <w:qFormat/>
    <w:rsid w:val="00f268e5"/>
    <w:pPr>
      <w:suppressAutoHyphens w:val="false"/>
      <w:spacing w:lineRule="auto" w:line="276" w:beforeAutospacing="1" w:after="142"/>
    </w:pPr>
    <w:rPr>
      <w:color w:val="000000"/>
    </w:rPr>
  </w:style>
  <w:style w:type="paragraph" w:styleId="Western" w:customStyle="1">
    <w:name w:val="western"/>
    <w:basedOn w:val="Normal"/>
    <w:qFormat/>
    <w:rsid w:val="00bc4173"/>
    <w:pPr>
      <w:suppressAutoHyphens w:val="false"/>
      <w:spacing w:lineRule="auto" w:line="276" w:beforeAutospacing="1" w:after="142"/>
    </w:pPr>
    <w:rPr>
      <w:color w:val="00000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rsid w:val="004e27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E3026E9684E286A9CAEEAC042F515319332E964FE4D5AE0EEADED69F5699B36B854F2204CCC022871A2857DB3DB7CF465987BD7A88F50C47D5D7FE8ErC38J" TargetMode="External"/><Relationship Id="rId4" Type="http://schemas.openxmlformats.org/officeDocument/2006/relationships/hyperlink" Target="consultantplus://offline/ref=6F4BAF5E38F716BF7455FB5618AF0386BC640653697208C233BBAF6589FBB56796F89D2D218C4CA93E3D627A564404C94A45494A5AA53B88FC6EL" TargetMode="External"/><Relationship Id="rId5" Type="http://schemas.openxmlformats.org/officeDocument/2006/relationships/hyperlink" Target="consultantplus://offline/ref=6F4BAF5E38F716BF7455E55B0EC35D8CB96E5E5F697505916DEDA932D6ABB332D6B89B7862C848AC3736352D171A5D9A0C0E454946B93A8BD210DA95FA67L" TargetMode="External"/><Relationship Id="rId6" Type="http://schemas.openxmlformats.org/officeDocument/2006/relationships/hyperlink" Target="consultantplus://offline/ref=6F4BAF5E38F716BF7455FB5618AF0386BC660054687108C233BBAF6589FBB56796F89D2A26894CA66367727E1F130BD5495A564944A5F369L" TargetMode="External"/><Relationship Id="rId7" Type="http://schemas.openxmlformats.org/officeDocument/2006/relationships/hyperlink" Target="consultantplus://offline/ref=6F4BAF5E38F716BF7455FB5618AF0386BC640653697208C233BBAF6589FBB56796F89D2D218C4CA93E3D627A564404C94A45494A5AA53B88FC6EL" TargetMode="External"/><Relationship Id="rId8" Type="http://schemas.openxmlformats.org/officeDocument/2006/relationships/hyperlink" Target="consultantplus://offline/ref=6F4BAF5E38F716BF7455FB5618AF0386BC640653697208C233BBAF6589FBB56796F89D2D218C45AB3E3D627A564404C94A45494A5AA53B88FC6EL" TargetMode="External"/><Relationship Id="rId9" Type="http://schemas.openxmlformats.org/officeDocument/2006/relationships/hyperlink" Target="consultantplus://offline/ref=6F4BAF5E38F716BF7455FB5618AF0386BC640653697208C233BBAF6589FBB56796F89D2D218C45AA363D627A564404C94A45494A5AA53B88FC6EL" TargetMode="External"/><Relationship Id="rId10" Type="http://schemas.openxmlformats.org/officeDocument/2006/relationships/hyperlink" Target="consultantplus://offline/ref=6F4BAF5E38F716BF7455FB5618AF0386BC640653697208C233BBAF6589FBB56796F89D2D218C4CA93E3D627A564404C94A45494A5AA53B88FC6EL" TargetMode="External"/><Relationship Id="rId11" Type="http://schemas.openxmlformats.org/officeDocument/2006/relationships/hyperlink" Target="consultantplus://offline/ref=6F4BAF5E38F716BF7455FB5618AF0386BC640653697208C233BBAF6589FBB56796F89D2D218C45AB3E3D627A564404C94A45494A5AA53B88FC6EL" TargetMode="External"/><Relationship Id="rId12" Type="http://schemas.openxmlformats.org/officeDocument/2006/relationships/hyperlink" Target="consultantplus://offline/ref=6F4BAF5E38F716BF7455E55B0EC35D8CB96E5E5F697505916DEDA932D6ABB332D6B89B7862C848AC37363F2B111A5D9A0C0E454946B93A8BD210DA95FA67L" TargetMode="External"/><Relationship Id="rId13" Type="http://schemas.openxmlformats.org/officeDocument/2006/relationships/hyperlink" Target="consultantplus://offline/ref=6F4BAF5E38F716BF7455FB5618AF0386BC640653697208C233BBAF6589FBB56796F89D2D218C45AA373D627A564404C94A45494A5AA53B88FC6EL" TargetMode="External"/><Relationship Id="rId14" Type="http://schemas.openxmlformats.org/officeDocument/2006/relationships/hyperlink" Target="consultantplus://offline/ref=6F4BAF5E38F716BF7455E55B0EC35D8CB96E5E5F697505916DEDA932D6ABB332D6B89B7862C848AC37363F2E1A1A5D9A0C0E454946B93A8BD210DA95FA67L" TargetMode="External"/><Relationship Id="rId15" Type="http://schemas.openxmlformats.org/officeDocument/2006/relationships/hyperlink" Target="consultantplus://offline/ref=6F4BAF5E38F716BF7455E55B0EC35D8CB96E5E5F697505916DEDA932D6ABB332D6B89B7862C848AC3737362A111A5D9A0C0E454946B93A8BD210DA95FA67L" TargetMode="External"/><Relationship Id="rId16" Type="http://schemas.openxmlformats.org/officeDocument/2006/relationships/hyperlink" Target="consultantplus://offline/ref=6F4BAF5E38F716BF7455FB5618AF0386BC640653697208C233BBAF6589FBB56796F89D2D218C45AA363D627A564404C94A45494A5AA53B88FC6EL" TargetMode="External"/><Relationship Id="rId17" Type="http://schemas.openxmlformats.org/officeDocument/2006/relationships/hyperlink" Target="consultantplus://offline/ref=6F4BAF5E38F716BF7455E55B0EC35D8CB96E5E5F697505916DEDA932D6ABB332D6B89B7862C848AC3737362D101A5D9A0C0E454946B93A8BD210DA95FA67L" TargetMode="External"/><Relationship Id="rId18" Type="http://schemas.openxmlformats.org/officeDocument/2006/relationships/header" Target="head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C33FE-161A-4CB6-82D1-F2446D0C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4516</TotalTime>
  <Application>LibreOffice/7.4.2.3$Windows_X86_64 LibreOffice_project/382eef1f22670f7f4118c8c2dd222ec7ad009daf</Application>
  <AppVersion>15.0000</AppVersion>
  <DocSecurity>0</DocSecurity>
  <Pages>11</Pages>
  <Words>3080</Words>
  <Characters>24238</Characters>
  <CharactersWithSpaces>27305</CharactersWithSpaces>
  <Paragraphs>104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2020-02-27T08:48:00Z</dcterms:created>
  <dc:creator>User</dc:creator>
  <dc:description/>
  <dc:language>ru-RU</dc:language>
  <cp:lastModifiedBy/>
  <cp:lastPrinted>2022-03-10T17:06:00Z</cp:lastPrinted>
  <dcterms:modified xsi:type="dcterms:W3CDTF">2022-12-19T20:00:51Z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